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88" w:rsidRPr="00C247D2" w:rsidRDefault="00574A88" w:rsidP="00574A8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Objectives, benefits and deliverables of </w:t>
      </w:r>
      <w:r w:rsidRPr="00C247D2">
        <w:rPr>
          <w:rFonts w:ascii="Arial" w:hAnsi="Arial" w:cs="Arial"/>
          <w:b/>
          <w:sz w:val="24"/>
          <w:szCs w:val="24"/>
          <w:lang w:val="az-Latn-AZ"/>
        </w:rPr>
        <w:t xml:space="preserve">Working Project </w:t>
      </w:r>
    </w:p>
    <w:p w:rsidR="00574A88" w:rsidRPr="00657219" w:rsidRDefault="00574A88" w:rsidP="00574A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Objectives</w:t>
      </w:r>
      <w:r w:rsidRPr="001E4ECB">
        <w:rPr>
          <w:rFonts w:ascii="Arial" w:hAnsi="Arial" w:cs="Arial"/>
          <w:b/>
          <w:sz w:val="24"/>
          <w:szCs w:val="24"/>
          <w:lang w:val="az-Latn-AZ"/>
        </w:rPr>
        <w:t>:</w:t>
      </w:r>
      <w:r>
        <w:rPr>
          <w:rFonts w:ascii="Arial" w:hAnsi="Arial" w:cs="Arial"/>
          <w:sz w:val="24"/>
          <w:szCs w:val="24"/>
          <w:lang w:val="az-Latn-AZ"/>
        </w:rPr>
        <w:t xml:space="preserve"> To i</w:t>
      </w:r>
      <w:r w:rsidRPr="00657219">
        <w:rPr>
          <w:rFonts w:ascii="Arial" w:hAnsi="Arial" w:cs="Arial"/>
          <w:sz w:val="24"/>
          <w:szCs w:val="24"/>
          <w:lang w:val="az-Latn-AZ"/>
        </w:rPr>
        <w:t xml:space="preserve">dentify </w:t>
      </w:r>
      <w:r>
        <w:rPr>
          <w:rFonts w:ascii="Arial" w:hAnsi="Arial" w:cs="Arial"/>
          <w:sz w:val="24"/>
          <w:szCs w:val="24"/>
          <w:lang w:val="az-Latn-AZ"/>
        </w:rPr>
        <w:t>subjects</w:t>
      </w:r>
      <w:r w:rsidRPr="00657219">
        <w:rPr>
          <w:rFonts w:ascii="Arial" w:hAnsi="Arial" w:cs="Arial"/>
          <w:sz w:val="24"/>
          <w:szCs w:val="24"/>
          <w:lang w:val="az-Latn-AZ"/>
        </w:rPr>
        <w:t xml:space="preserve"> for discussion and work out a specific topic:</w:t>
      </w:r>
    </w:p>
    <w:p w:rsidR="00574A88" w:rsidRPr="00C247D2" w:rsidRDefault="00574A88" w:rsidP="00574A88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>Topic:</w:t>
      </w:r>
    </w:p>
    <w:p w:rsidR="00574A88" w:rsidRPr="00C247D2" w:rsidRDefault="00574A88" w:rsidP="00574A8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 xml:space="preserve">Problems of inequality </w:t>
      </w:r>
      <w:r>
        <w:rPr>
          <w:rFonts w:ascii="Arial" w:hAnsi="Arial" w:cs="Arial"/>
          <w:sz w:val="24"/>
          <w:szCs w:val="24"/>
          <w:lang w:val="az-Latn-AZ"/>
        </w:rPr>
        <w:t xml:space="preserve">in </w:t>
      </w:r>
      <w:r w:rsidRPr="00B16279">
        <w:rPr>
          <w:rFonts w:ascii="Arial" w:hAnsi="Arial" w:cs="Arial"/>
          <w:sz w:val="24"/>
          <w:szCs w:val="24"/>
          <w:lang w:val="az-Latn-AZ"/>
        </w:rPr>
        <w:t xml:space="preserve">social environments </w:t>
      </w:r>
      <w:r>
        <w:rPr>
          <w:rFonts w:ascii="Arial" w:hAnsi="Arial" w:cs="Arial"/>
          <w:sz w:val="24"/>
          <w:szCs w:val="24"/>
          <w:lang w:val="az-Latn-AZ"/>
        </w:rPr>
        <w:t>within</w:t>
      </w:r>
      <w:r w:rsidRPr="00C247D2">
        <w:rPr>
          <w:rFonts w:ascii="Arial" w:hAnsi="Arial" w:cs="Arial"/>
          <w:sz w:val="24"/>
          <w:szCs w:val="24"/>
          <w:lang w:val="az-Latn-AZ"/>
        </w:rPr>
        <w:t xml:space="preserve"> centers and peripherals </w:t>
      </w:r>
      <w:r>
        <w:rPr>
          <w:rFonts w:ascii="Arial" w:hAnsi="Arial" w:cs="Arial"/>
          <w:sz w:val="24"/>
          <w:szCs w:val="24"/>
          <w:lang w:val="az-Latn-AZ"/>
        </w:rPr>
        <w:t>of</w:t>
      </w:r>
      <w:r w:rsidRPr="00C247D2">
        <w:rPr>
          <w:rFonts w:ascii="Arial" w:hAnsi="Arial" w:cs="Arial"/>
          <w:sz w:val="24"/>
          <w:szCs w:val="24"/>
          <w:lang w:val="az-Latn-AZ"/>
        </w:rPr>
        <w:t xml:space="preserve"> highly urbanized areas: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>- opinions of members to the subject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>- provision of additional suggestions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>- following 1.5 months, provision of agreed subject for discussion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 xml:space="preserve">- revision of suggestions and experiences on the subject by the end of 2018, </w:t>
      </w:r>
      <w:r>
        <w:rPr>
          <w:rFonts w:ascii="Arial" w:hAnsi="Arial" w:cs="Arial"/>
          <w:sz w:val="24"/>
          <w:szCs w:val="24"/>
          <w:lang w:val="az-Latn-AZ"/>
        </w:rPr>
        <w:t xml:space="preserve">debates on </w:t>
      </w:r>
      <w:r w:rsidRPr="00C247D2">
        <w:rPr>
          <w:rFonts w:ascii="Arial" w:hAnsi="Arial" w:cs="Arial"/>
          <w:sz w:val="24"/>
          <w:szCs w:val="24"/>
          <w:lang w:val="az-Latn-AZ"/>
        </w:rPr>
        <w:t>the matter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>- development of final provisions and proposals</w:t>
      </w:r>
      <w:r>
        <w:rPr>
          <w:rFonts w:ascii="Arial" w:hAnsi="Arial" w:cs="Arial"/>
          <w:sz w:val="24"/>
          <w:szCs w:val="24"/>
          <w:lang w:val="az-Latn-AZ"/>
        </w:rPr>
        <w:t xml:space="preserve"> on the subject in 2019 (1</w:t>
      </w:r>
      <w:r w:rsidRPr="00B16279">
        <w:rPr>
          <w:rFonts w:ascii="Arial" w:hAnsi="Arial" w:cs="Arial"/>
          <w:sz w:val="24"/>
          <w:szCs w:val="24"/>
          <w:vertAlign w:val="superscript"/>
          <w:lang w:val="az-Latn-AZ"/>
        </w:rPr>
        <w:t>st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247D2">
        <w:rPr>
          <w:rFonts w:ascii="Arial" w:hAnsi="Arial" w:cs="Arial"/>
          <w:sz w:val="24"/>
          <w:szCs w:val="24"/>
          <w:lang w:val="az-Latn-AZ"/>
        </w:rPr>
        <w:t>half)</w:t>
      </w:r>
    </w:p>
    <w:p w:rsidR="00574A88" w:rsidRPr="00C247D2" w:rsidRDefault="00574A88" w:rsidP="00574A88">
      <w:pPr>
        <w:spacing w:after="0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 xml:space="preserve">- in the second half of 2019 provision of </w:t>
      </w:r>
      <w:r>
        <w:rPr>
          <w:rFonts w:ascii="Arial" w:hAnsi="Arial" w:cs="Arial"/>
          <w:sz w:val="24"/>
          <w:szCs w:val="24"/>
          <w:lang w:val="az-Latn-AZ"/>
        </w:rPr>
        <w:t xml:space="preserve">relevant </w:t>
      </w:r>
      <w:r w:rsidRPr="00C247D2">
        <w:rPr>
          <w:rFonts w:ascii="Arial" w:hAnsi="Arial" w:cs="Arial"/>
          <w:sz w:val="24"/>
          <w:szCs w:val="24"/>
          <w:lang w:val="az-Latn-AZ"/>
        </w:rPr>
        <w:t>proposals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247D2">
        <w:rPr>
          <w:rFonts w:ascii="Arial" w:hAnsi="Arial" w:cs="Arial"/>
          <w:sz w:val="24"/>
          <w:szCs w:val="24"/>
          <w:lang w:val="az-Latn-AZ"/>
        </w:rPr>
        <w:t>to the working group by identifying areas of efficiency of the paper in own countries</w:t>
      </w:r>
      <w:r>
        <w:rPr>
          <w:rFonts w:ascii="Arial" w:hAnsi="Arial" w:cs="Arial"/>
          <w:sz w:val="24"/>
          <w:szCs w:val="24"/>
          <w:lang w:val="az-Latn-AZ"/>
        </w:rPr>
        <w:t xml:space="preserve"> of working group members and</w:t>
      </w:r>
      <w:r w:rsidRPr="00C247D2">
        <w:rPr>
          <w:rFonts w:ascii="Arial" w:hAnsi="Arial" w:cs="Arial"/>
          <w:sz w:val="24"/>
          <w:szCs w:val="24"/>
          <w:lang w:val="az-Latn-AZ"/>
        </w:rPr>
        <w:t xml:space="preserve"> via debating decisions taken </w:t>
      </w:r>
      <w:r w:rsidRPr="00C818FD">
        <w:rPr>
          <w:rFonts w:ascii="Arial" w:hAnsi="Arial" w:cs="Arial"/>
          <w:sz w:val="24"/>
          <w:szCs w:val="24"/>
          <w:lang w:val="az-Latn-AZ"/>
        </w:rPr>
        <w:t>with participation of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247D2">
        <w:rPr>
          <w:rFonts w:ascii="Arial" w:hAnsi="Arial" w:cs="Arial"/>
          <w:sz w:val="24"/>
          <w:szCs w:val="24"/>
          <w:lang w:val="az-Latn-AZ"/>
        </w:rPr>
        <w:t xml:space="preserve">unions of architects, public associations and official bodies </w:t>
      </w:r>
    </w:p>
    <w:p w:rsidR="00574A88" w:rsidRDefault="00574A88" w:rsidP="00574A88">
      <w:pPr>
        <w:spacing w:after="0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  <w:r w:rsidRPr="00C247D2">
        <w:rPr>
          <w:rFonts w:ascii="Arial" w:hAnsi="Arial" w:cs="Arial"/>
          <w:sz w:val="24"/>
          <w:szCs w:val="24"/>
          <w:lang w:val="az-Latn-AZ"/>
        </w:rPr>
        <w:t xml:space="preserve">- submission of the final document prepared by the Working Group in 2020 to the International Union of Architects for consideration and inclusion to the collection of documents to be developed. </w:t>
      </w:r>
    </w:p>
    <w:p w:rsidR="00574A88" w:rsidRDefault="00574A88" w:rsidP="00574A88">
      <w:pPr>
        <w:spacing w:after="0"/>
        <w:ind w:left="284"/>
        <w:jc w:val="both"/>
        <w:rPr>
          <w:rFonts w:ascii="Arial" w:hAnsi="Arial" w:cs="Arial"/>
          <w:sz w:val="24"/>
          <w:szCs w:val="24"/>
          <w:lang w:val="az-Latn-AZ"/>
        </w:rPr>
      </w:pPr>
    </w:p>
    <w:p w:rsidR="00574A88" w:rsidRDefault="00574A88" w:rsidP="00574A8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A54FEE">
        <w:rPr>
          <w:rFonts w:ascii="Arial" w:hAnsi="Arial" w:cs="Arial"/>
          <w:b/>
          <w:sz w:val="24"/>
          <w:szCs w:val="24"/>
          <w:lang w:val="az-Latn-AZ"/>
        </w:rPr>
        <w:t xml:space="preserve">Working Project benefits: </w:t>
      </w:r>
      <w:r w:rsidRPr="00A54FEE">
        <w:rPr>
          <w:rFonts w:ascii="Arial" w:hAnsi="Arial" w:cs="Arial"/>
          <w:sz w:val="24"/>
          <w:szCs w:val="24"/>
          <w:lang w:val="az-Latn-AZ"/>
        </w:rPr>
        <w:t>Exchange of experiences and interchange of views about activities.</w:t>
      </w:r>
    </w:p>
    <w:p w:rsidR="00574A88" w:rsidRPr="00A54FEE" w:rsidRDefault="00574A88" w:rsidP="00574A88">
      <w:pPr>
        <w:pStyle w:val="a3"/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74A88" w:rsidRPr="00A54FEE" w:rsidRDefault="00574A88" w:rsidP="00574A8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Deliverables</w:t>
      </w:r>
      <w:r w:rsidRPr="00A54FEE">
        <w:rPr>
          <w:rFonts w:ascii="Arial" w:hAnsi="Arial" w:cs="Arial"/>
          <w:b/>
          <w:sz w:val="24"/>
          <w:szCs w:val="24"/>
          <w:lang w:val="az-Latn-AZ"/>
        </w:rPr>
        <w:t xml:space="preserve"> by 2018:</w:t>
      </w:r>
      <w:r w:rsidRPr="00A54FE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Achievement of </w:t>
      </w:r>
      <w:r w:rsidRPr="00A54FEE">
        <w:rPr>
          <w:rFonts w:ascii="Arial" w:hAnsi="Arial" w:cs="Arial"/>
          <w:sz w:val="24"/>
          <w:szCs w:val="24"/>
          <w:lang w:val="az-Latn-AZ"/>
        </w:rPr>
        <w:t xml:space="preserve"> business climate by involving members of the Working Group </w:t>
      </w:r>
      <w:r>
        <w:rPr>
          <w:rFonts w:ascii="Arial" w:hAnsi="Arial" w:cs="Arial"/>
          <w:sz w:val="24"/>
          <w:szCs w:val="24"/>
          <w:lang w:val="az-Latn-AZ"/>
        </w:rPr>
        <w:t>by</w:t>
      </w:r>
      <w:r w:rsidRPr="00A54FE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late</w:t>
      </w:r>
      <w:r w:rsidRPr="00A54FEE">
        <w:rPr>
          <w:rFonts w:ascii="Arial" w:hAnsi="Arial" w:cs="Arial"/>
          <w:sz w:val="24"/>
          <w:szCs w:val="24"/>
          <w:lang w:val="az-Latn-AZ"/>
        </w:rPr>
        <w:t xml:space="preserve"> 2018.</w:t>
      </w:r>
    </w:p>
    <w:p w:rsidR="00574A88" w:rsidRPr="00A54FEE" w:rsidRDefault="00574A88" w:rsidP="00574A88">
      <w:pPr>
        <w:spacing w:after="0"/>
        <w:ind w:left="284"/>
        <w:rPr>
          <w:rFonts w:ascii="Arial" w:hAnsi="Arial" w:cs="Arial"/>
          <w:sz w:val="24"/>
          <w:szCs w:val="24"/>
          <w:lang w:val="az-Latn-AZ"/>
        </w:rPr>
      </w:pPr>
    </w:p>
    <w:p w:rsidR="00672865" w:rsidRPr="00574A88" w:rsidRDefault="00672865">
      <w:pPr>
        <w:rPr>
          <w:lang w:val="az-Latn-AZ"/>
        </w:rPr>
      </w:pPr>
      <w:bookmarkStart w:id="0" w:name="_GoBack"/>
      <w:bookmarkEnd w:id="0"/>
    </w:p>
    <w:sectPr w:rsidR="00672865" w:rsidRPr="0057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506F"/>
    <w:multiLevelType w:val="hybridMultilevel"/>
    <w:tmpl w:val="F16EC090"/>
    <w:lvl w:ilvl="0" w:tplc="E1901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8"/>
    <w:rsid w:val="00574A88"/>
    <w:rsid w:val="00672865"/>
    <w:rsid w:val="00AD76A9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7B47-910E-4BC2-9534-8F1677B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2018-05-04T12:38:00Z</dcterms:created>
  <dcterms:modified xsi:type="dcterms:W3CDTF">2018-05-04T12:38:00Z</dcterms:modified>
</cp:coreProperties>
</file>